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2025-01-30</w:t>
      </w:r>
    </w:p>
    <w:p>
      <w:pPr>
        <w:pStyle w:val="AbstractTitle"/>
      </w:pPr>
      <w:r>
        <w:t xml:space="preserve">Abstract</w:t>
      </w:r>
    </w:p>
    <w:p>
      <w:pPr>
        <w:pStyle w:val="Abstract"/>
      </w:pPr>
      <w:r>
        <w:t xml:space="preserve">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w:t>
      </w:r>
      <w:r>
        <w:t xml:space="preserve"> </w:t>
      </w:r>
      <w:r>
        <w:rPr>
          <w:i/>
          <w:iCs/>
        </w:rPr>
        <w:t xml:space="preserve">Chortoicetes terminifera</w:t>
      </w:r>
      <w:r>
        <w:t xml:space="preserve"> </w:t>
      </w:r>
      <w:r>
        <w:t xml:space="preserve">(Walker).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physiologically and behaviorally when constrained to high-nitrogen environments? We expect locusts to exhibit higher mass, survivorship, and adult proportion in lower-nitrogen environments. To redress the nutritional imbalance of a high-protein:carbohydrate (P:C) diet, we also expect locusts to behaviorally select carbohydrate-biased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2025-01-30T23:52:25Z</dcterms:created>
  <dcterms:modified xsi:type="dcterms:W3CDTF">2025-01-30T23:52:25Z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2025-01-30</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